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8E479" w14:textId="18CB1886" w:rsidR="00415B86" w:rsidRDefault="00415B86">
      <w:pPr>
        <w:spacing w:after="240"/>
        <w:rPr>
          <w:b/>
          <w:bCs/>
        </w:rPr>
      </w:pPr>
      <w:r>
        <w:rPr>
          <w:b/>
          <w:bCs/>
          <w:noProof/>
          <w:color w:val="1F3864"/>
          <w:sz w:val="56"/>
          <w:szCs w:val="56"/>
        </w:rPr>
        <w:drawing>
          <wp:anchor distT="0" distB="0" distL="114300" distR="114300" simplePos="0" relativeHeight="251659264" behindDoc="0" locked="0" layoutInCell="1" allowOverlap="1" wp14:anchorId="57CCF906" wp14:editId="64E5B426">
            <wp:simplePos x="0" y="0"/>
            <wp:positionH relativeFrom="margin">
              <wp:align>center</wp:align>
            </wp:positionH>
            <wp:positionV relativeFrom="paragraph">
              <wp:posOffset>-295275</wp:posOffset>
            </wp:positionV>
            <wp:extent cx="1543050" cy="1070950"/>
            <wp:effectExtent l="0" t="0" r="0" b="0"/>
            <wp:wrapNone/>
            <wp:docPr id="1104113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113922" name="Picture 11041139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3050" cy="1070950"/>
                    </a:xfrm>
                    <a:prstGeom prst="rect">
                      <a:avLst/>
                    </a:prstGeom>
                  </pic:spPr>
                </pic:pic>
              </a:graphicData>
            </a:graphic>
            <wp14:sizeRelH relativeFrom="margin">
              <wp14:pctWidth>0</wp14:pctWidth>
            </wp14:sizeRelH>
            <wp14:sizeRelV relativeFrom="margin">
              <wp14:pctHeight>0</wp14:pctHeight>
            </wp14:sizeRelV>
          </wp:anchor>
        </w:drawing>
      </w:r>
      <w:r w:rsidR="007F38D3">
        <w:rPr>
          <w:b/>
          <w:bCs/>
        </w:rPr>
        <w:t>August 25, 2026</w:t>
      </w:r>
    </w:p>
    <w:p w14:paraId="43873B74" w14:textId="4B1E6C4E" w:rsidR="00415B86" w:rsidRDefault="00415B86">
      <w:pPr>
        <w:spacing w:after="240"/>
        <w:rPr>
          <w:b/>
          <w:bCs/>
        </w:rPr>
      </w:pPr>
    </w:p>
    <w:p w14:paraId="46E39D35" w14:textId="77777777" w:rsidR="00415B86" w:rsidRDefault="00415B86">
      <w:pPr>
        <w:spacing w:after="240"/>
        <w:rPr>
          <w:b/>
          <w:bCs/>
        </w:rPr>
      </w:pPr>
    </w:p>
    <w:p w14:paraId="2140A238" w14:textId="2E375DF0" w:rsidR="00DE04FD" w:rsidRDefault="00415B86">
      <w:pPr>
        <w:spacing w:after="240"/>
      </w:pPr>
      <w:r>
        <w:rPr>
          <w:b/>
          <w:bCs/>
        </w:rPr>
        <w:t>R</w:t>
      </w:r>
      <w:r w:rsidR="00174097">
        <w:rPr>
          <w:b/>
          <w:bCs/>
        </w:rPr>
        <w:t>E: Healthy Concession Stand Initiative — Toolkit and Mini Grant Funding Opportunity</w:t>
      </w:r>
    </w:p>
    <w:p w14:paraId="35C4DC0A" w14:textId="77777777" w:rsidR="007E4FE5" w:rsidRDefault="007E4FE5" w:rsidP="007E4FE5">
      <w:pPr>
        <w:spacing w:after="200"/>
      </w:pPr>
      <w:r>
        <w:t>We are writing to introduce a new initiative aimed at making healthier food and beverage options available at school and community events with concession stands, and to let you know about mini grant funding available to help put it into practice.</w:t>
      </w:r>
    </w:p>
    <w:p w14:paraId="5C3A3A75" w14:textId="77777777" w:rsidR="007E4FE5" w:rsidRDefault="007E4FE5" w:rsidP="007E4FE5">
      <w:pPr>
        <w:spacing w:after="200"/>
      </w:pPr>
      <w:r>
        <w:t xml:space="preserve">Concession stands have traditionally been thought of as an occasional treat — a hot dog and a soda enjoyed </w:t>
      </w:r>
      <w:proofErr w:type="gramStart"/>
      <w:r>
        <w:t>once in a while</w:t>
      </w:r>
      <w:proofErr w:type="gramEnd"/>
      <w:r>
        <w:t xml:space="preserve"> at a Friday night game. That is no longer an accurate picture of how these events work. Sporting events and other community gatherings have evolved into all-day and even multi-day tournaments and competitions. For many attendees, the concession stand is not an occasional indulgence; it is where they will eat lunch, dinner, and everything in between over the course of a long day or a full weekend. What used to be a "once in a while treat" has shifted into a real source of daily nutrition, and it needs to be treated that way.</w:t>
      </w:r>
    </w:p>
    <w:p w14:paraId="40E177A4" w14:textId="77777777" w:rsidR="007E4FE5" w:rsidRDefault="007E4FE5" w:rsidP="007E4FE5">
      <w:pPr>
        <w:spacing w:after="200"/>
      </w:pPr>
      <w:r>
        <w:t>At the same time, our country continues to see rising rates of chronic disease diagnoses. Type 2 diabetes, heart disease, obesity, and related conditions are increasingly common across all age groups. Given how much time people now spend at these events, and how often concessions serve as their primary food source for the day, offering healthier options is one meaningful way we can support better health outcomes for the residents in our communities.</w:t>
      </w:r>
    </w:p>
    <w:p w14:paraId="24B79FF4" w14:textId="77777777" w:rsidR="007E4FE5" w:rsidRDefault="007E4FE5" w:rsidP="007E4FE5">
      <w:pPr>
        <w:spacing w:after="200"/>
      </w:pPr>
      <w:r>
        <w:t>This need shows up differently across the people who attend these events, and this project was built with all of them in mind:</w:t>
      </w:r>
    </w:p>
    <w:p w14:paraId="33801128" w14:textId="77777777" w:rsidR="007E4FE5" w:rsidRDefault="007E4FE5" w:rsidP="007E4FE5">
      <w:pPr>
        <w:pStyle w:val="ListParagraph"/>
        <w:numPr>
          <w:ilvl w:val="0"/>
          <w:numId w:val="2"/>
        </w:numPr>
        <w:spacing w:after="100"/>
      </w:pPr>
      <w:r>
        <w:t xml:space="preserve">General attendees and community members, regardless of health background or dietary needs, deserve to have at least some healthier options available to them — not just the standard fried and sugary concession </w:t>
      </w:r>
      <w:proofErr w:type="gramStart"/>
      <w:r>
        <w:t>fare</w:t>
      </w:r>
      <w:proofErr w:type="gramEnd"/>
      <w:r>
        <w:t>.</w:t>
      </w:r>
    </w:p>
    <w:p w14:paraId="531F0A3D" w14:textId="77777777" w:rsidR="007E4FE5" w:rsidRDefault="007E4FE5" w:rsidP="007E4FE5">
      <w:pPr>
        <w:pStyle w:val="ListParagraph"/>
        <w:numPr>
          <w:ilvl w:val="0"/>
          <w:numId w:val="2"/>
        </w:numPr>
        <w:spacing w:after="100"/>
      </w:pPr>
      <w:r>
        <w:t xml:space="preserve">Student athletes and school organizations benefit directly from better fueling choices. Foods high in refined carbohydrates and fat </w:t>
      </w:r>
      <w:proofErr w:type="gramStart"/>
      <w:r>
        <w:t>are</w:t>
      </w:r>
      <w:proofErr w:type="gramEnd"/>
      <w:r>
        <w:t xml:space="preserve"> not what best supports athletic performance, recovery, or focus, and the concession stand is often the only food source available to them before, during, or after competition.</w:t>
      </w:r>
    </w:p>
    <w:p w14:paraId="68D8B6C6" w14:textId="77777777" w:rsidR="007E4FE5" w:rsidRDefault="007E4FE5" w:rsidP="007E4FE5">
      <w:pPr>
        <w:pStyle w:val="ListParagraph"/>
        <w:numPr>
          <w:ilvl w:val="0"/>
          <w:numId w:val="2"/>
        </w:numPr>
        <w:spacing w:after="100"/>
      </w:pPr>
      <w:r>
        <w:t xml:space="preserve">Elderly family members and attendees with chronic illness — parents, grandparents, and others who come out to support their students and teams — need healthy options they can </w:t>
      </w:r>
      <w:proofErr w:type="gramStart"/>
      <w:r>
        <w:t>actually use</w:t>
      </w:r>
      <w:proofErr w:type="gramEnd"/>
      <w:r>
        <w:t>, not just in theory but in practice, given their dietary restrictions and health conditions.</w:t>
      </w:r>
    </w:p>
    <w:p w14:paraId="5CE8CA5B" w14:textId="77777777" w:rsidR="007E4FE5" w:rsidRDefault="007E4FE5" w:rsidP="007E4FE5">
      <w:pPr>
        <w:spacing w:after="200"/>
      </w:pPr>
      <w:r>
        <w:t>In response to this need, we developed the Healthy Concession Stand Toolkit, built on the Nutrition Environment Measures Survey – Vending (NEMS-V) Green-Yellow-Red coding system. The toolkit gives schools and organizations a practical, ready-to-use guide for identifying, purchasing, preparing, packaging, and selling snacks and beverages that meet recognized nutrition standards — including a list of specific products already verified by NCDHD as meeting those standards. A full copy of the toolkit is enclosed with this letter.</w:t>
      </w:r>
    </w:p>
    <w:p w14:paraId="1079354D" w14:textId="77777777" w:rsidR="00DE04FD" w:rsidRDefault="00174097">
      <w:pPr>
        <w:pStyle w:val="Heading2"/>
        <w:spacing w:before="240" w:after="160"/>
      </w:pPr>
      <w:r>
        <w:t>Mini Grant Funding</w:t>
      </w:r>
    </w:p>
    <w:p w14:paraId="3E450B94" w14:textId="77777777" w:rsidR="007E4FE5" w:rsidRDefault="007E4FE5" w:rsidP="007E4FE5">
      <w:pPr>
        <w:spacing w:after="200"/>
      </w:pPr>
      <w:r>
        <w:t>To help offset the cost of putting these changes into practice, two separate mini grant awards are available:</w:t>
      </w:r>
    </w:p>
    <w:p w14:paraId="79DA0627" w14:textId="77777777" w:rsidR="007E4FE5" w:rsidRDefault="007E4FE5" w:rsidP="007E4FE5">
      <w:pPr>
        <w:spacing w:after="120"/>
      </w:pPr>
      <w:r>
        <w:rPr>
          <w:b/>
          <w:bCs/>
        </w:rPr>
        <w:t xml:space="preserve">$1,000 Supplies &amp; Equipment Grant — </w:t>
      </w:r>
      <w:r>
        <w:t>for purchasing packing, prep, storage, and serving materials, along with new menu signage, to support offering healthier concession stand options.</w:t>
      </w:r>
    </w:p>
    <w:p w14:paraId="3C2AFAC2" w14:textId="77777777" w:rsidR="007E4FE5" w:rsidRDefault="007E4FE5" w:rsidP="007E4FE5">
      <w:pPr>
        <w:spacing w:after="200"/>
      </w:pPr>
      <w:r>
        <w:rPr>
          <w:b/>
          <w:bCs/>
        </w:rPr>
        <w:t xml:space="preserve">$350 Project Support Grant — </w:t>
      </w:r>
      <w:r>
        <w:t>to help support the general operational costs associated with introducing and maintaining healthier concession stand offerings.</w:t>
      </w:r>
    </w:p>
    <w:p w14:paraId="641DC700" w14:textId="77777777" w:rsidR="00DE04FD" w:rsidRDefault="00174097">
      <w:pPr>
        <w:spacing w:after="240"/>
      </w:pPr>
      <w:r>
        <w:rPr>
          <w:b/>
          <w:bCs/>
          <w:i/>
          <w:iCs/>
        </w:rPr>
        <w:lastRenderedPageBreak/>
        <w:t xml:space="preserve">Important: </w:t>
      </w:r>
      <w:r>
        <w:rPr>
          <w:i/>
          <w:iCs/>
        </w:rPr>
        <w:t>these two awards are separate and independent of one another. Your organization is not required to apply for or use both. You are welcome to apply for whichever grant — or grants — best fit your concession stand's current needs.</w:t>
      </w:r>
    </w:p>
    <w:p w14:paraId="65682BE1" w14:textId="77777777" w:rsidR="00DE04FD" w:rsidRDefault="00174097">
      <w:pPr>
        <w:pStyle w:val="Heading2"/>
        <w:spacing w:before="240" w:after="160"/>
      </w:pPr>
      <w:r>
        <w:t>Looking Ahead: Meals &amp; Entrées</w:t>
      </w:r>
    </w:p>
    <w:p w14:paraId="6868519E" w14:textId="77777777" w:rsidR="00DE04FD" w:rsidRDefault="00174097">
      <w:pPr>
        <w:spacing w:after="200"/>
      </w:pPr>
      <w:r w:rsidRPr="00415B86">
        <w:rPr>
          <w:b/>
          <w:bCs/>
        </w:rPr>
        <w:t>This first round of the mini grant program is focused specifically on snacks and beverages</w:t>
      </w:r>
      <w:r>
        <w:t xml:space="preserve">, which is reflected in the enclosed toolkit. Meals and entrées are more complex to evaluate — they involve more ingredients, preparation methods, and nutrition considerations — so it will take NCDHD a bit more time to develop an easy-to-use resource, </w:t>
      </w:r>
      <w:proofErr w:type="gramStart"/>
      <w:r>
        <w:t>similar to</w:t>
      </w:r>
      <w:proofErr w:type="gramEnd"/>
      <w:r>
        <w:t xml:space="preserve"> what is provided here, to help concession stands evaluate whether their meal offerings meet nutrition standards. Future grant opportunities are expected to focus on healthier meal options.</w:t>
      </w:r>
    </w:p>
    <w:p w14:paraId="05101669" w14:textId="77777777" w:rsidR="00DE04FD" w:rsidRDefault="00174097">
      <w:pPr>
        <w:spacing w:after="200"/>
      </w:pPr>
      <w:r>
        <w:t>In the meantime, we encourage you to start looking at what your concession stand currently offers for meals and entrées, and to begin thinking about ways you might adjust those offerings in preparation for that next phase. For a preview of what "healthy" looks like in this context, you can reference the NEMS-R (Nutrition Environment Measures Survey – Restaurant) tool suite:</w:t>
      </w:r>
    </w:p>
    <w:p w14:paraId="55385EDC" w14:textId="77777777" w:rsidR="00DE04FD" w:rsidRDefault="00174097">
      <w:pPr>
        <w:pStyle w:val="ListParagraph"/>
        <w:numPr>
          <w:ilvl w:val="0"/>
          <w:numId w:val="1"/>
        </w:numPr>
        <w:spacing w:after="100"/>
      </w:pPr>
      <w:hyperlink r:id="rId8" w:history="1">
        <w:r>
          <w:rPr>
            <w:rStyle w:val="Hyperlink"/>
          </w:rPr>
          <w:t>NEMS-R Tools (nems-upenn.org/tools/)</w:t>
        </w:r>
      </w:hyperlink>
    </w:p>
    <w:p w14:paraId="6E9BF7E9" w14:textId="77777777" w:rsidR="00DE04FD" w:rsidRDefault="00174097">
      <w:pPr>
        <w:spacing w:after="200"/>
      </w:pPr>
      <w:r>
        <w:t xml:space="preserve">The NEMS-R Protocol document </w:t>
      </w:r>
      <w:proofErr w:type="gramStart"/>
      <w:r>
        <w:t>in particular includes</w:t>
      </w:r>
      <w:proofErr w:type="gramEnd"/>
      <w:r>
        <w:t xml:space="preserve"> definitions of healthy entrées beginning on page </w:t>
      </w:r>
      <w:proofErr w:type="gramStart"/>
      <w:r>
        <w:t>16, and</w:t>
      </w:r>
      <w:proofErr w:type="gramEnd"/>
      <w:r>
        <w:t xml:space="preserve"> can help you start evaluating your current menu even before NCDHD's meal-specific resource becomes available.</w:t>
      </w:r>
    </w:p>
    <w:p w14:paraId="70828540" w14:textId="77777777" w:rsidR="00DE04FD" w:rsidRDefault="00174097">
      <w:pPr>
        <w:pStyle w:val="Heading2"/>
        <w:spacing w:before="240" w:after="160"/>
      </w:pPr>
      <w:r>
        <w:t>Getting Started</w:t>
      </w:r>
    </w:p>
    <w:p w14:paraId="5A3EDFC2" w14:textId="77777777" w:rsidR="00DE04FD" w:rsidRDefault="00174097">
      <w:pPr>
        <w:spacing w:after="200"/>
      </w:pPr>
      <w:r>
        <w:t>We encourage you to review the enclosed toolkit with your concession stand staff and volunteers, decide which grant (or grants) fit your needs, and reach out to us with any questions. We are glad to help you think through what would work best for your specific concession stand and event schedule.</w:t>
      </w:r>
    </w:p>
    <w:p w14:paraId="391B0AE4" w14:textId="77777777" w:rsidR="00DE04FD" w:rsidRDefault="00174097">
      <w:pPr>
        <w:pStyle w:val="Heading2"/>
        <w:spacing w:before="240" w:after="160"/>
      </w:pPr>
      <w:r>
        <w:t>Additional Resources</w:t>
      </w:r>
    </w:p>
    <w:p w14:paraId="5D7D9881" w14:textId="77777777" w:rsidR="00DE04FD" w:rsidRDefault="00174097">
      <w:pPr>
        <w:spacing w:after="200"/>
      </w:pPr>
      <w:r>
        <w:t>For school personnel who would like more background or want to do further research, the following resources may be helpful:</w:t>
      </w:r>
    </w:p>
    <w:p w14:paraId="3650783D" w14:textId="77777777" w:rsidR="00DE04FD" w:rsidRDefault="00174097">
      <w:pPr>
        <w:pStyle w:val="ListParagraph"/>
        <w:numPr>
          <w:ilvl w:val="0"/>
          <w:numId w:val="1"/>
        </w:numPr>
        <w:spacing w:after="100"/>
      </w:pPr>
      <w:hyperlink r:id="rId9" w:history="1">
        <w:r>
          <w:rPr>
            <w:rStyle w:val="Hyperlink"/>
          </w:rPr>
          <w:t>NEMS-V Resources — nutrition assessment tools and background on the Green-Yellow-Red system</w:t>
        </w:r>
      </w:hyperlink>
    </w:p>
    <w:p w14:paraId="48217ACD" w14:textId="77777777" w:rsidR="00DE04FD" w:rsidRDefault="00174097">
      <w:pPr>
        <w:pStyle w:val="ListParagraph"/>
        <w:numPr>
          <w:ilvl w:val="0"/>
          <w:numId w:val="1"/>
        </w:numPr>
        <w:spacing w:after="100"/>
      </w:pPr>
      <w:hyperlink r:id="rId10" w:history="1">
        <w:r>
          <w:rPr>
            <w:rStyle w:val="Hyperlink"/>
          </w:rPr>
          <w:t>NEMS-R Protocol (</w:t>
        </w:r>
        <w:proofErr w:type="gramStart"/>
        <w:r>
          <w:rPr>
            <w:rStyle w:val="Hyperlink"/>
          </w:rPr>
          <w:t>PDF) —</w:t>
        </w:r>
        <w:proofErr w:type="gramEnd"/>
        <w:r>
          <w:rPr>
            <w:rStyle w:val="Hyperlink"/>
          </w:rPr>
          <w:t xml:space="preserve"> healthy entrée definitions begin on page 16</w:t>
        </w:r>
      </w:hyperlink>
    </w:p>
    <w:p w14:paraId="4770DE9E" w14:textId="77777777" w:rsidR="00DE04FD" w:rsidRDefault="00174097">
      <w:pPr>
        <w:pStyle w:val="ListParagraph"/>
        <w:numPr>
          <w:ilvl w:val="0"/>
          <w:numId w:val="1"/>
        </w:numPr>
        <w:spacing w:after="100"/>
      </w:pPr>
      <w:hyperlink r:id="rId11" w:history="1">
        <w:r>
          <w:rPr>
            <w:rStyle w:val="Hyperlink"/>
          </w:rPr>
          <w:t>CDC — About Chronic Diseases (national data and context on chronic disease prevalence and prevention)</w:t>
        </w:r>
      </w:hyperlink>
    </w:p>
    <w:p w14:paraId="50192C90" w14:textId="77777777" w:rsidR="00DE04FD" w:rsidRDefault="00174097">
      <w:pPr>
        <w:pStyle w:val="ListParagraph"/>
        <w:numPr>
          <w:ilvl w:val="0"/>
          <w:numId w:val="1"/>
        </w:numPr>
        <w:spacing w:after="100"/>
      </w:pPr>
      <w:hyperlink r:id="rId12" w:history="1">
        <w:r>
          <w:rPr>
            <w:rStyle w:val="Hyperlink"/>
          </w:rPr>
          <w:t>Academy of Nutrition and Dietetics — Gameday Nutrition Tips for Young Athletes</w:t>
        </w:r>
      </w:hyperlink>
    </w:p>
    <w:p w14:paraId="70CF6FFE" w14:textId="77777777" w:rsidR="00DE04FD" w:rsidRDefault="00174097">
      <w:pPr>
        <w:pStyle w:val="ListParagraph"/>
        <w:numPr>
          <w:ilvl w:val="0"/>
          <w:numId w:val="1"/>
        </w:numPr>
        <w:spacing w:after="100"/>
      </w:pPr>
      <w:hyperlink r:id="rId13" w:history="1">
        <w:r>
          <w:rPr>
            <w:rStyle w:val="Hyperlink"/>
          </w:rPr>
          <w:t>MedlinePlus (</w:t>
        </w:r>
        <w:proofErr w:type="gramStart"/>
        <w:r>
          <w:rPr>
            <w:rStyle w:val="Hyperlink"/>
          </w:rPr>
          <w:t>NIH) —</w:t>
        </w:r>
        <w:proofErr w:type="gramEnd"/>
        <w:r>
          <w:rPr>
            <w:rStyle w:val="Hyperlink"/>
          </w:rPr>
          <w:t xml:space="preserve"> Nutrition for Older Adults</w:t>
        </w:r>
      </w:hyperlink>
    </w:p>
    <w:p w14:paraId="610861C0" w14:textId="77777777" w:rsidR="00DE04FD" w:rsidRDefault="00174097">
      <w:pPr>
        <w:pStyle w:val="ListParagraph"/>
        <w:numPr>
          <w:ilvl w:val="0"/>
          <w:numId w:val="1"/>
        </w:numPr>
        <w:spacing w:after="100"/>
      </w:pPr>
      <w:hyperlink r:id="rId14" w:history="1">
        <w:r>
          <w:rPr>
            <w:rStyle w:val="Hyperlink"/>
          </w:rPr>
          <w:t>FDA — Selecting and Serving Produce Safely</w:t>
        </w:r>
      </w:hyperlink>
    </w:p>
    <w:p w14:paraId="199AF3F8" w14:textId="77777777" w:rsidR="00DE04FD" w:rsidRDefault="00174097">
      <w:pPr>
        <w:spacing w:after="200"/>
      </w:pPr>
      <w:r>
        <w:t xml:space="preserve"> </w:t>
      </w:r>
    </w:p>
    <w:p w14:paraId="688E362D" w14:textId="77777777" w:rsidR="00DE04FD" w:rsidRDefault="00174097">
      <w:pPr>
        <w:spacing w:after="200"/>
      </w:pPr>
      <w:r>
        <w:t>Thank you for your commitment to the health of your students, athletes, and community members. We look forward to working with you on this initiative.</w:t>
      </w:r>
    </w:p>
    <w:p w14:paraId="32C14852" w14:textId="77777777" w:rsidR="00DE04FD" w:rsidRDefault="00174097">
      <w:pPr>
        <w:spacing w:after="200"/>
      </w:pPr>
      <w:r>
        <w:t xml:space="preserve"> </w:t>
      </w:r>
    </w:p>
    <w:p w14:paraId="3C0041D0" w14:textId="77777777" w:rsidR="00DE04FD" w:rsidRDefault="00174097">
      <w:pPr>
        <w:spacing w:after="200"/>
      </w:pPr>
      <w:r>
        <w:t>Sincerely,</w:t>
      </w:r>
    </w:p>
    <w:p w14:paraId="33575E8B" w14:textId="026A8BAD" w:rsidR="00DE04FD" w:rsidRDefault="00174097" w:rsidP="006B2D41">
      <w:pPr>
        <w:spacing w:after="200"/>
      </w:pPr>
      <w:r>
        <w:t xml:space="preserve">  </w:t>
      </w:r>
      <w:r w:rsidR="006B2D41">
        <w:t>Jennifer Booker, Wellness Coordinator</w:t>
      </w:r>
    </w:p>
    <w:p w14:paraId="39D2CC3E" w14:textId="108E1EBA" w:rsidR="00DE04FD" w:rsidRDefault="006B2D41">
      <w:r>
        <w:t>North Central District Health Department</w:t>
      </w:r>
    </w:p>
    <w:p w14:paraId="53DEBB61" w14:textId="2BF1BD9D" w:rsidR="00DE04FD" w:rsidRDefault="006B2D41" w:rsidP="006B2D41">
      <w:pPr>
        <w:spacing w:after="240"/>
      </w:pPr>
      <w:r>
        <w:t xml:space="preserve">402-336-2406  </w:t>
      </w:r>
      <w:hyperlink r:id="rId15" w:history="1">
        <w:r w:rsidRPr="00474A64">
          <w:rPr>
            <w:rStyle w:val="Hyperlink"/>
          </w:rPr>
          <w:t>jennifer@ncdhd.ne.gov</w:t>
        </w:r>
      </w:hyperlink>
      <w:r>
        <w:t xml:space="preserve"> </w:t>
      </w:r>
      <w:r w:rsidR="00174097">
        <w:t xml:space="preserve"> </w:t>
      </w:r>
    </w:p>
    <w:sectPr w:rsidR="00DE04FD" w:rsidSect="00415B86">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E8810" w14:textId="77777777" w:rsidR="005E77C3" w:rsidRDefault="005E77C3" w:rsidP="006B2D41">
      <w:r>
        <w:separator/>
      </w:r>
    </w:p>
  </w:endnote>
  <w:endnote w:type="continuationSeparator" w:id="0">
    <w:p w14:paraId="796B41EE" w14:textId="77777777" w:rsidR="005E77C3" w:rsidRDefault="005E77C3" w:rsidP="006B2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9F002" w14:textId="77777777" w:rsidR="006B2D41" w:rsidRDefault="006B2D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A3929" w14:textId="77777777" w:rsidR="006B2D41" w:rsidRDefault="006B2D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6301" w14:textId="77777777" w:rsidR="006B2D41" w:rsidRDefault="006B2D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AF7E3" w14:textId="77777777" w:rsidR="005E77C3" w:rsidRDefault="005E77C3" w:rsidP="006B2D41">
      <w:r>
        <w:separator/>
      </w:r>
    </w:p>
  </w:footnote>
  <w:footnote w:type="continuationSeparator" w:id="0">
    <w:p w14:paraId="11E72CBD" w14:textId="77777777" w:rsidR="005E77C3" w:rsidRDefault="005E77C3" w:rsidP="006B2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1398D" w14:textId="77777777" w:rsidR="006B2D41" w:rsidRDefault="006B2D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3D077" w14:textId="38F91EEE" w:rsidR="006B2D41" w:rsidRDefault="006B2D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CB1C" w14:textId="77777777" w:rsidR="006B2D41" w:rsidRDefault="006B2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A52"/>
    <w:multiLevelType w:val="hybridMultilevel"/>
    <w:tmpl w:val="2A12838E"/>
    <w:lvl w:ilvl="0" w:tplc="6FF22D76">
      <w:start w:val="1"/>
      <w:numFmt w:val="bullet"/>
      <w:lvlText w:val="●"/>
      <w:lvlJc w:val="left"/>
      <w:pPr>
        <w:ind w:left="720" w:hanging="360"/>
      </w:pPr>
    </w:lvl>
    <w:lvl w:ilvl="1" w:tplc="882678B6">
      <w:start w:val="1"/>
      <w:numFmt w:val="bullet"/>
      <w:lvlText w:val="○"/>
      <w:lvlJc w:val="left"/>
      <w:pPr>
        <w:ind w:left="1440" w:hanging="360"/>
      </w:pPr>
    </w:lvl>
    <w:lvl w:ilvl="2" w:tplc="60807FEC">
      <w:start w:val="1"/>
      <w:numFmt w:val="bullet"/>
      <w:lvlText w:val="■"/>
      <w:lvlJc w:val="left"/>
      <w:pPr>
        <w:ind w:left="2160" w:hanging="360"/>
      </w:pPr>
    </w:lvl>
    <w:lvl w:ilvl="3" w:tplc="063EEF60">
      <w:start w:val="1"/>
      <w:numFmt w:val="bullet"/>
      <w:lvlText w:val="●"/>
      <w:lvlJc w:val="left"/>
      <w:pPr>
        <w:ind w:left="2880" w:hanging="360"/>
      </w:pPr>
    </w:lvl>
    <w:lvl w:ilvl="4" w:tplc="CD002C3A">
      <w:start w:val="1"/>
      <w:numFmt w:val="bullet"/>
      <w:lvlText w:val="○"/>
      <w:lvlJc w:val="left"/>
      <w:pPr>
        <w:ind w:left="3600" w:hanging="360"/>
      </w:pPr>
    </w:lvl>
    <w:lvl w:ilvl="5" w:tplc="134EF2F4">
      <w:start w:val="1"/>
      <w:numFmt w:val="bullet"/>
      <w:lvlText w:val="■"/>
      <w:lvlJc w:val="left"/>
      <w:pPr>
        <w:ind w:left="4320" w:hanging="360"/>
      </w:pPr>
    </w:lvl>
    <w:lvl w:ilvl="6" w:tplc="0046F44A">
      <w:start w:val="1"/>
      <w:numFmt w:val="bullet"/>
      <w:lvlText w:val="●"/>
      <w:lvlJc w:val="left"/>
      <w:pPr>
        <w:ind w:left="5040" w:hanging="360"/>
      </w:pPr>
    </w:lvl>
    <w:lvl w:ilvl="7" w:tplc="5C4AD97E">
      <w:start w:val="1"/>
      <w:numFmt w:val="bullet"/>
      <w:lvlText w:val="●"/>
      <w:lvlJc w:val="left"/>
      <w:pPr>
        <w:ind w:left="5760" w:hanging="360"/>
      </w:pPr>
    </w:lvl>
    <w:lvl w:ilvl="8" w:tplc="3AE6F882">
      <w:start w:val="1"/>
      <w:numFmt w:val="bullet"/>
      <w:lvlText w:val="●"/>
      <w:lvlJc w:val="left"/>
      <w:pPr>
        <w:ind w:left="6480" w:hanging="360"/>
      </w:pPr>
    </w:lvl>
  </w:abstractNum>
  <w:abstractNum w:abstractNumId="1" w15:restartNumberingAfterBreak="0">
    <w:nsid w:val="674D4633"/>
    <w:multiLevelType w:val="hybridMultilevel"/>
    <w:tmpl w:val="C4707904"/>
    <w:lvl w:ilvl="0" w:tplc="F60A9C1C">
      <w:start w:val="1"/>
      <w:numFmt w:val="bullet"/>
      <w:lvlText w:val="●"/>
      <w:lvlJc w:val="left"/>
      <w:pPr>
        <w:ind w:left="720" w:hanging="360"/>
      </w:pPr>
    </w:lvl>
    <w:lvl w:ilvl="1" w:tplc="5E5A2366">
      <w:start w:val="1"/>
      <w:numFmt w:val="bullet"/>
      <w:lvlText w:val="○"/>
      <w:lvlJc w:val="left"/>
      <w:pPr>
        <w:ind w:left="1440" w:hanging="360"/>
      </w:pPr>
    </w:lvl>
    <w:lvl w:ilvl="2" w:tplc="601EF602">
      <w:start w:val="1"/>
      <w:numFmt w:val="bullet"/>
      <w:lvlText w:val="■"/>
      <w:lvlJc w:val="left"/>
      <w:pPr>
        <w:ind w:left="2160" w:hanging="360"/>
      </w:pPr>
    </w:lvl>
    <w:lvl w:ilvl="3" w:tplc="49244346">
      <w:start w:val="1"/>
      <w:numFmt w:val="bullet"/>
      <w:lvlText w:val="●"/>
      <w:lvlJc w:val="left"/>
      <w:pPr>
        <w:ind w:left="2880" w:hanging="360"/>
      </w:pPr>
    </w:lvl>
    <w:lvl w:ilvl="4" w:tplc="242CFE16">
      <w:start w:val="1"/>
      <w:numFmt w:val="bullet"/>
      <w:lvlText w:val="○"/>
      <w:lvlJc w:val="left"/>
      <w:pPr>
        <w:ind w:left="3600" w:hanging="360"/>
      </w:pPr>
    </w:lvl>
    <w:lvl w:ilvl="5" w:tplc="32D44B0E">
      <w:start w:val="1"/>
      <w:numFmt w:val="bullet"/>
      <w:lvlText w:val="■"/>
      <w:lvlJc w:val="left"/>
      <w:pPr>
        <w:ind w:left="4320" w:hanging="360"/>
      </w:pPr>
    </w:lvl>
    <w:lvl w:ilvl="6" w:tplc="E1866BE2">
      <w:start w:val="1"/>
      <w:numFmt w:val="bullet"/>
      <w:lvlText w:val="●"/>
      <w:lvlJc w:val="left"/>
      <w:pPr>
        <w:ind w:left="5040" w:hanging="360"/>
      </w:pPr>
    </w:lvl>
    <w:lvl w:ilvl="7" w:tplc="301C16CC">
      <w:start w:val="1"/>
      <w:numFmt w:val="bullet"/>
      <w:lvlText w:val="●"/>
      <w:lvlJc w:val="left"/>
      <w:pPr>
        <w:ind w:left="5760" w:hanging="360"/>
      </w:pPr>
    </w:lvl>
    <w:lvl w:ilvl="8" w:tplc="F3FEF270">
      <w:start w:val="1"/>
      <w:numFmt w:val="bullet"/>
      <w:lvlText w:val="●"/>
      <w:lvlJc w:val="left"/>
      <w:pPr>
        <w:ind w:left="6480" w:hanging="360"/>
      </w:pPr>
    </w:lvl>
  </w:abstractNum>
  <w:num w:numId="1" w16cid:durableId="60761698">
    <w:abstractNumId w:val="1"/>
    <w:lvlOverride w:ilvl="0">
      <w:startOverride w:val="1"/>
    </w:lvlOverride>
  </w:num>
  <w:num w:numId="2" w16cid:durableId="190648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4FD"/>
    <w:rsid w:val="00072FF2"/>
    <w:rsid w:val="00174097"/>
    <w:rsid w:val="00415B86"/>
    <w:rsid w:val="005E77C3"/>
    <w:rsid w:val="006B2D41"/>
    <w:rsid w:val="0079384A"/>
    <w:rsid w:val="007E4FE5"/>
    <w:rsid w:val="007F38D3"/>
    <w:rsid w:val="00B93C05"/>
    <w:rsid w:val="00C97EF7"/>
    <w:rsid w:val="00DE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52EC3"/>
  <w15:docId w15:val="{B086AB2A-8238-46D3-BF11-09EE793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B2D41"/>
    <w:pPr>
      <w:tabs>
        <w:tab w:val="center" w:pos="4680"/>
        <w:tab w:val="right" w:pos="9360"/>
      </w:tabs>
    </w:pPr>
  </w:style>
  <w:style w:type="character" w:customStyle="1" w:styleId="HeaderChar">
    <w:name w:val="Header Char"/>
    <w:basedOn w:val="DefaultParagraphFont"/>
    <w:link w:val="Header"/>
    <w:uiPriority w:val="99"/>
    <w:rsid w:val="006B2D41"/>
  </w:style>
  <w:style w:type="paragraph" w:styleId="Footer">
    <w:name w:val="footer"/>
    <w:basedOn w:val="Normal"/>
    <w:link w:val="FooterChar"/>
    <w:uiPriority w:val="99"/>
    <w:unhideWhenUsed/>
    <w:rsid w:val="006B2D41"/>
    <w:pPr>
      <w:tabs>
        <w:tab w:val="center" w:pos="4680"/>
        <w:tab w:val="right" w:pos="9360"/>
      </w:tabs>
    </w:pPr>
  </w:style>
  <w:style w:type="character" w:customStyle="1" w:styleId="FooterChar">
    <w:name w:val="Footer Char"/>
    <w:basedOn w:val="DefaultParagraphFont"/>
    <w:link w:val="Footer"/>
    <w:uiPriority w:val="99"/>
    <w:rsid w:val="006B2D41"/>
  </w:style>
  <w:style w:type="character" w:styleId="UnresolvedMention">
    <w:name w:val="Unresolved Mention"/>
    <w:basedOn w:val="DefaultParagraphFont"/>
    <w:uiPriority w:val="99"/>
    <w:semiHidden/>
    <w:unhideWhenUsed/>
    <w:rsid w:val="006B2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ms-upenn.org/tools/" TargetMode="External"/><Relationship Id="rId13" Type="http://schemas.openxmlformats.org/officeDocument/2006/relationships/hyperlink" Target="https://medlineplus.gov/nutritionforolderadults.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www.eatright.org/fitness/sports-and-athletic-performance/beginner-and-intermediate/8-gameday-nutrition-tips-for-young-athlet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chronic-disease/about/index.html" TargetMode="External"/><Relationship Id="rId5" Type="http://schemas.openxmlformats.org/officeDocument/2006/relationships/footnotes" Target="footnotes.xml"/><Relationship Id="rId15" Type="http://schemas.openxmlformats.org/officeDocument/2006/relationships/hyperlink" Target="mailto:jennifer@ncdhd.ne.gov" TargetMode="External"/><Relationship Id="rId23" Type="http://schemas.openxmlformats.org/officeDocument/2006/relationships/theme" Target="theme/theme1.xml"/><Relationship Id="rId10" Type="http://schemas.openxmlformats.org/officeDocument/2006/relationships/hyperlink" Target="http://nems-upenn.org/wp-content/uploads/2018/10/NEMS-R-Protocol_04-07-10.pdf"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ms-upenn.org/nem-v-resources/" TargetMode="External"/><Relationship Id="rId14" Type="http://schemas.openxmlformats.org/officeDocument/2006/relationships/hyperlink" Target="https://www.fda.gov/food/buy-store-serve-safe-food/selecting-and-serving-produce-safel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991</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Booker</cp:lastModifiedBy>
  <cp:revision>5</cp:revision>
  <dcterms:created xsi:type="dcterms:W3CDTF">2026-08-20T20:26:00Z</dcterms:created>
  <dcterms:modified xsi:type="dcterms:W3CDTF">2026-08-25T21:22:00Z</dcterms:modified>
</cp:coreProperties>
</file>